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B966D9" w:rsidP="007572FC">
      <w:pPr>
        <w:pStyle w:val="Docketnumber"/>
      </w:pPr>
      <w:r>
        <w:t>PUC DOCKET NO. 47424</w:t>
      </w:r>
      <w:r w:rsidR="007572FC">
        <w:br/>
        <w:t xml:space="preserve">SOAH DOCKET NO. </w:t>
      </w:r>
      <w:r>
        <w:t>473-18</w:t>
      </w:r>
      <w:r w:rsidR="007572FC">
        <w:t>-</w:t>
      </w:r>
      <w:r>
        <w:t>0533</w:t>
      </w:r>
      <w:r w:rsidR="007753D6">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D828E2" w:rsidP="001E360C">
            <w:pPr>
              <w:pStyle w:val="Docketstyle"/>
            </w:pPr>
            <w:r>
              <w:t>APPLICATION OF LEGEND BANK DBA OREAL, INC. FOR A 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066848" w:rsidRDefault="006E4E3E" w:rsidP="00066848">
      <w:pPr>
        <w:pStyle w:val="BodyText"/>
      </w:pPr>
      <w:r>
        <w:t>Legend Bank d/b/a OREAL, Inc.</w:t>
      </w:r>
      <w:r w:rsidR="00C1378F">
        <w:t xml:space="preserve"> filed an </w:t>
      </w:r>
      <w:r w:rsidR="00266F9F">
        <w:t xml:space="preserve">application to </w:t>
      </w:r>
      <w:r w:rsidR="00D746FE">
        <w:t xml:space="preserve">change its </w:t>
      </w:r>
      <w:r w:rsidR="00BE46CB">
        <w:t xml:space="preserve">sewer </w:t>
      </w:r>
      <w:r w:rsidR="00155BC7">
        <w:t>rate</w:t>
      </w:r>
      <w:bookmarkStart w:id="0" w:name="_GoBack"/>
      <w:bookmarkEnd w:id="0"/>
      <w:r w:rsidR="00D746FE">
        <w:t xml:space="preserve"> and tariff for certificate of convenience and necessity (CCN) </w:t>
      </w:r>
      <w:r w:rsidR="0055034A">
        <w:t>2</w:t>
      </w:r>
      <w:r w:rsidR="00E352B0">
        <w:t>0568</w:t>
      </w:r>
      <w:r w:rsidR="00172829">
        <w:t xml:space="preserve"> in Tar</w:t>
      </w:r>
      <w:r w:rsidR="00BD5249">
        <w:t>rant County, Texas</w:t>
      </w:r>
      <w:r w:rsidR="00534D0A">
        <w:t xml:space="preserve">.  OREAL states that it is a class C utility serving approximately </w:t>
      </w:r>
      <w:r w:rsidR="00297A0A">
        <w:t>88 connections.</w:t>
      </w:r>
      <w:r w:rsidR="004500AC">
        <w:rPr>
          <w:rStyle w:val="FootnoteReference"/>
        </w:rPr>
        <w:footnoteReference w:id="1"/>
      </w:r>
      <w:r w:rsidR="00066848">
        <w:t xml:space="preserve">  </w:t>
      </w:r>
    </w:p>
    <w:p w:rsidR="006F2036" w:rsidRDefault="003A376B" w:rsidP="00066848">
      <w:pPr>
        <w:pStyle w:val="BodyText"/>
      </w:pPr>
      <w:r>
        <w:t>In its application, OREAL requests approval of an annual revenue increase of $</w:t>
      </w:r>
      <w:r w:rsidR="00175456">
        <w:t>69,133.00</w:t>
      </w:r>
      <w:r>
        <w:t xml:space="preserve"> for sewer service.</w:t>
      </w:r>
      <w:r>
        <w:rPr>
          <w:rStyle w:val="FootnoteReference"/>
        </w:rPr>
        <w:footnoteReference w:id="2"/>
      </w:r>
      <w:r>
        <w:t xml:space="preserve">  </w:t>
      </w:r>
      <w:r w:rsidR="007D2349">
        <w:t xml:space="preserve">OREAL has been charging all of its customers an unmetered </w:t>
      </w:r>
      <w:r w:rsidR="00E51FB4">
        <w:t>base</w:t>
      </w:r>
      <w:r w:rsidR="007D2349">
        <w:t xml:space="preserve"> rate of $12.00 per month for sewer service, and it proposes to </w:t>
      </w:r>
      <w:r w:rsidR="00926494">
        <w:t>raise that base</w:t>
      </w:r>
      <w:r w:rsidR="00D222B6">
        <w:t xml:space="preserve"> rate to $77.22 per month.</w:t>
      </w:r>
      <w:r w:rsidR="00832204" w:rsidRPr="00832204">
        <w:rPr>
          <w:rStyle w:val="FootnoteReference"/>
        </w:rPr>
        <w:t xml:space="preserve"> </w:t>
      </w:r>
      <w:r w:rsidR="00832204">
        <w:rPr>
          <w:rStyle w:val="FootnoteReference"/>
        </w:rPr>
        <w:footnoteReference w:id="3"/>
      </w:r>
      <w:r w:rsidR="0067042C">
        <w:t xml:space="preserve"> </w:t>
      </w:r>
      <w:r w:rsidR="00D222B6">
        <w:t xml:space="preserve"> There is no</w:t>
      </w:r>
      <w:r w:rsidR="0067042C">
        <w:t xml:space="preserve"> gallonage charge</w:t>
      </w:r>
      <w:r w:rsidR="007D2349">
        <w:t xml:space="preserve">.  </w:t>
      </w:r>
      <w:r w:rsidR="006F2036">
        <w:t>This preliminary order identifies the issues that must be addressed.</w:t>
      </w:r>
    </w:p>
    <w:p w:rsidR="00F24715" w:rsidRDefault="0086599C" w:rsidP="00266F9F">
      <w:pPr>
        <w:pStyle w:val="BodyText"/>
      </w:pPr>
      <w:r>
        <w:t>OREAL filed its application on July 25, 2017.</w:t>
      </w:r>
      <w:r w:rsidR="001712B1">
        <w:t xml:space="preserve">  </w:t>
      </w:r>
      <w:r w:rsidR="00EE1646">
        <w:t>O</w:t>
      </w:r>
      <w:r w:rsidR="00C34A92">
        <w:t xml:space="preserve">n October 3, 2017, the Commission’s </w:t>
      </w:r>
      <w:r w:rsidR="00D90779">
        <w:t>ALJ deemed the application administratively complete</w:t>
      </w:r>
      <w:r w:rsidR="00D504A1">
        <w:t>.</w:t>
      </w:r>
      <w:r w:rsidR="00EB6560">
        <w:t xml:space="preserve">  OREAL had sought an effective date of September 5, 2017,</w:t>
      </w:r>
      <w:r w:rsidR="00EB6560">
        <w:rPr>
          <w:rStyle w:val="FootnoteReference"/>
        </w:rPr>
        <w:footnoteReference w:id="4"/>
      </w:r>
      <w:r w:rsidR="00EB6560">
        <w:t xml:space="preserve"> but</w:t>
      </w:r>
      <w:r w:rsidR="00C15483">
        <w:t xml:space="preserve"> </w:t>
      </w:r>
      <w:r w:rsidR="00EB6560">
        <w:t>Commission</w:t>
      </w:r>
      <w:r w:rsidR="00C15483">
        <w:t xml:space="preserve"> Staff </w:t>
      </w:r>
      <w:r w:rsidR="00180B03">
        <w:t>moved for suspension of that</w:t>
      </w:r>
      <w:r w:rsidR="00C15483">
        <w:t xml:space="preserve"> date based on the magnitude of the </w:t>
      </w:r>
      <w:r w:rsidR="00F55171">
        <w:t xml:space="preserve">proposed </w:t>
      </w:r>
      <w:r w:rsidR="00C15483">
        <w:t>rate increase, and</w:t>
      </w:r>
      <w:r w:rsidR="00EB6560">
        <w:t xml:space="preserve"> the Commission’s administrative law judge (ALJ) suspended the effective date</w:t>
      </w:r>
      <w:r w:rsidR="00AB0EAA">
        <w:t xml:space="preserve"> for no more than 265 days</w:t>
      </w:r>
      <w:r w:rsidR="00EB6560">
        <w:t>.</w:t>
      </w:r>
      <w:r w:rsidR="004E39CA">
        <w:rPr>
          <w:rStyle w:val="FootnoteReference"/>
        </w:rPr>
        <w:footnoteReference w:id="5"/>
      </w:r>
      <w:r w:rsidR="00F24715">
        <w:t xml:space="preserve">  </w:t>
      </w:r>
      <w:r w:rsidR="002C230F">
        <w:t>The Commission referred this</w:t>
      </w:r>
      <w:r w:rsidR="00D837FC">
        <w:t xml:space="preserve"> docket to the State Office of Administrative Hearings on October 12, 2017.</w:t>
      </w:r>
    </w:p>
    <w:p w:rsidR="00F24715" w:rsidRDefault="00A26478" w:rsidP="00266F9F">
      <w:pPr>
        <w:pStyle w:val="BodyText"/>
      </w:pPr>
      <w:r>
        <w:t>OREAL</w:t>
      </w:r>
      <w:r w:rsidR="00F24715">
        <w:t xml:space="preserve"> was directed</w:t>
      </w:r>
      <w:r>
        <w:t>,</w:t>
      </w:r>
      <w:r w:rsidR="00F24715">
        <w:t xml:space="preserve"> and</w:t>
      </w:r>
      <w:r w:rsidR="00604A1C">
        <w:t xml:space="preserve"> Commission Staff and other interested p</w:t>
      </w:r>
      <w:r w:rsidR="00DF1D74">
        <w:t>ersons</w:t>
      </w:r>
      <w:r w:rsidR="00604A1C">
        <w:t xml:space="preserve"> w</w:t>
      </w:r>
      <w:r w:rsidR="00DF1D74">
        <w:t>ere allowed</w:t>
      </w:r>
      <w:r>
        <w:t>,</w:t>
      </w:r>
      <w:r w:rsidR="00DF1D74">
        <w:t xml:space="preserve"> to file a list of issues to be addressed in the docket and also identify any issues not to be addressed and any threshold legal or policy issues that should be addressed by </w:t>
      </w:r>
      <w:r w:rsidR="00CD2B0A">
        <w:t>October 27, 2017</w:t>
      </w:r>
      <w:r w:rsidR="00DF1D74">
        <w:t xml:space="preserve">.  </w:t>
      </w:r>
      <w:r w:rsidR="00D91BE5">
        <w:t>Commission Staff</w:t>
      </w:r>
      <w:r w:rsidR="00DF1D74">
        <w:t xml:space="preserve"> timely filed a list of issues.  </w:t>
      </w:r>
      <w:r w:rsidR="00D91BE5">
        <w:t>OREAL</w:t>
      </w:r>
      <w:r w:rsidR="00DF1D74">
        <w:t xml:space="preserve"> did not file </w:t>
      </w:r>
      <w:r w:rsidR="00D91BE5">
        <w:t>a list of issues.</w:t>
      </w:r>
    </w:p>
    <w:p w:rsidR="006F2036" w:rsidRPr="003C35B5" w:rsidRDefault="006F2036" w:rsidP="006F2036">
      <w:pPr>
        <w:pStyle w:val="Heading1"/>
        <w:keepLines w:val="0"/>
        <w:tabs>
          <w:tab w:val="clear" w:pos="360"/>
        </w:tabs>
        <w:spacing w:before="480"/>
      </w:pPr>
      <w:r w:rsidRPr="003C35B5">
        <w:lastRenderedPageBreak/>
        <w:t>Issues to be Addressed</w:t>
      </w:r>
    </w:p>
    <w:p w:rsidR="006F2036" w:rsidRPr="003C35B5"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6"/>
      </w:r>
      <w:r w:rsidRPr="003C35B5">
        <w:t xml:space="preserve">  After reviewing the pleadings submitted by the parties, the Commission identifies the following issues that must be addressed in this docket:</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is the appropriate methodology to determine just and reasonable rates in this proceeding?</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the just and reasonable rates for the utility that are sufficient, equitable, and consistent in application to each customer class and that are not unreasonably preferential, prejudicial, or discriminatory?  </w:t>
      </w:r>
      <w:r w:rsidRPr="00F90462">
        <w:t>TWC § 13.182</w:t>
      </w:r>
      <w:r>
        <w:t>, 13.1871(o); 16 TAC § 24.28(d).</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Pr="00193735">
        <w:rPr>
          <w:rFonts w:eastAsia="Times New Roman"/>
          <w:vertAlign w:val="superscript"/>
        </w:rPr>
        <w:t xml:space="preserve"> </w:t>
      </w:r>
      <w:r>
        <w:t>TWC </w:t>
      </w:r>
      <w:r w:rsidRPr="00F90462">
        <w:t>§ 13.183(a)</w:t>
      </w:r>
      <w:r>
        <w:t>(1)-(2)</w:t>
      </w:r>
      <w:r w:rsidRPr="00F90462">
        <w:t xml:space="preserve">; </w:t>
      </w:r>
      <w:r>
        <w:t>16 TAC </w:t>
      </w:r>
      <w:r w:rsidRPr="00F90462">
        <w:t>§ 24.32(a)</w:t>
      </w:r>
      <w:r>
        <w:t>.</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Are the utility's proposed revisions to its tariffs and rate schedules appropriate?</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cost of providing service?</w:t>
      </w:r>
      <w:r w:rsidRPr="00193735">
        <w:rPr>
          <w:rFonts w:eastAsia="Times New Roman"/>
          <w:vertAlign w:val="superscript"/>
        </w:rPr>
        <w:t xml:space="preserve"> </w:t>
      </w:r>
      <w:r>
        <w:t>16 TAC § </w:t>
      </w:r>
      <w:r w:rsidRPr="00F90462">
        <w:t>24.31.</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adjustments, if any, should be made to the utility’s proposed test-year data?</w:t>
      </w:r>
      <w:r w:rsidRPr="005834FA">
        <w:t xml:space="preserve"> </w:t>
      </w:r>
      <w:r>
        <w:t>TWC § 13.185(d)(1); 16 TAC § </w:t>
      </w:r>
      <w:r w:rsidRPr="00F90462">
        <w:t>24.31(b), (c)(5).</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is the appropriate debt-to-equity capital structure of the utility?</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appropriate </w:t>
      </w:r>
      <w:r>
        <w:rPr>
          <w:rFonts w:eastAsia="Times New Roman"/>
          <w:szCs w:val="20"/>
        </w:rPr>
        <w:t xml:space="preserve">weighted cost of capital (also called the overall rate of return), including </w:t>
      </w:r>
      <w:r w:rsidRPr="00193735">
        <w:rPr>
          <w:rFonts w:eastAsia="Times New Roman"/>
          <w:szCs w:val="20"/>
        </w:rPr>
        <w:t>return on equity and cost of debt for the utility?</w:t>
      </w:r>
      <w:r>
        <w:rPr>
          <w:rFonts w:eastAsia="Times New Roman"/>
          <w:szCs w:val="20"/>
        </w:rPr>
        <w:t xml:space="preserve"> 16 TAC § 24.31(c)(1).</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are the reasonable and necessary components of the utility's invested capital?</w:t>
      </w:r>
      <w:r w:rsidRPr="005834FA">
        <w:t xml:space="preserve"> </w:t>
      </w:r>
      <w:r>
        <w:t>16 TAC § 24.31(c)(2).</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0D6CAC" w:rsidRPr="001C678B"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is the original cost of the property us</w:t>
      </w:r>
      <w:r w:rsidR="00186296">
        <w:rPr>
          <w:rFonts w:eastAsia="Times New Roman"/>
          <w:szCs w:val="20"/>
        </w:rPr>
        <w:t>ed and useful in providing</w:t>
      </w:r>
      <w:r w:rsidRPr="00193735">
        <w:rPr>
          <w:rFonts w:eastAsia="Times New Roman"/>
          <w:szCs w:val="20"/>
        </w:rPr>
        <w:t xml:space="preserve"> service to the public at the time the property was dedicated to public use?</w:t>
      </w:r>
      <w:r>
        <w:rPr>
          <w:rFonts w:eastAsia="Times New Roman"/>
          <w:szCs w:val="20"/>
        </w:rPr>
        <w:t xml:space="preserve"> </w:t>
      </w:r>
      <w:r w:rsidR="0032501E">
        <w:rPr>
          <w:rFonts w:eastAsia="Times New Roman"/>
          <w:szCs w:val="20"/>
        </w:rPr>
        <w:t>TWC </w:t>
      </w:r>
      <w:r>
        <w:rPr>
          <w:rFonts w:eastAsia="Times New Roman"/>
          <w:szCs w:val="20"/>
        </w:rPr>
        <w:t xml:space="preserve">§ 13.185(b); 16 TAC § 24.31(c)(2)(A)-(B).  </w:t>
      </w:r>
      <w:r w:rsidRPr="00193735">
        <w:rPr>
          <w:rFonts w:eastAsia="Times New Roman"/>
          <w:vertAlign w:val="superscript"/>
        </w:rPr>
        <w:t xml:space="preserve"> </w:t>
      </w:r>
      <w:r>
        <w:rPr>
          <w:rFonts w:eastAsia="Times New Roman"/>
        </w:rPr>
        <w:t>What is the amount, if any, of accumulated depreciation on such property?</w:t>
      </w:r>
    </w:p>
    <w:p w:rsidR="000D6CAC" w:rsidRPr="00193735" w:rsidRDefault="000D6CAC" w:rsidP="000D6CAC">
      <w:pPr>
        <w:numPr>
          <w:ilvl w:val="0"/>
          <w:numId w:val="11"/>
        </w:numPr>
        <w:spacing w:before="240" w:line="360" w:lineRule="auto"/>
        <w:ind w:hanging="720"/>
        <w:jc w:val="both"/>
        <w:rPr>
          <w:rFonts w:eastAsia="Times New Roman"/>
          <w:szCs w:val="20"/>
        </w:rPr>
      </w:pPr>
      <w:r>
        <w:rPr>
          <w:rFonts w:eastAsia="Times New Roman"/>
          <w:szCs w:val="20"/>
        </w:rPr>
        <w:t xml:space="preserve">Is the utility seeking inclusion of construction work in progress?  If so, what is the amount sought and for what facilities?  Additionally, has the utility proven that the inclusion is necessary to the financial </w:t>
      </w:r>
      <w:r w:rsidRPr="00193735">
        <w:rPr>
          <w:rFonts w:eastAsia="Times New Roman"/>
          <w:szCs w:val="20"/>
        </w:rPr>
        <w:t>integrity of the utility and that major projects under construction have been efficiently and prudently planned and managed?</w:t>
      </w:r>
      <w:r>
        <w:rPr>
          <w:rFonts w:eastAsia="Times New Roman"/>
          <w:szCs w:val="20"/>
        </w:rPr>
        <w:t xml:space="preserve"> TWC § 13.185(b); 16 TAC § 24.31(c)(4). </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Does the utility have any debt? If so, what is the cost of that debt?</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working capital allowance for the utility?</w:t>
      </w:r>
      <w:r>
        <w:rPr>
          <w:rFonts w:eastAsia="Times New Roman"/>
          <w:szCs w:val="20"/>
        </w:rPr>
        <w:t xml:space="preserve"> 16 TAC § 24.31(c)(2)(C). </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Does the ut</w:t>
      </w:r>
      <w:r w:rsidR="009556B6">
        <w:rPr>
          <w:rFonts w:eastAsia="Times New Roman"/>
          <w:szCs w:val="20"/>
        </w:rPr>
        <w:t xml:space="preserve">ility have any </w:t>
      </w:r>
      <w:r w:rsidRPr="00193735">
        <w:rPr>
          <w:rFonts w:eastAsia="Times New Roman"/>
          <w:szCs w:val="20"/>
        </w:rPr>
        <w:t>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rPr>
          <w:rFonts w:eastAsia="Times New Roman"/>
          <w:szCs w:val="20"/>
        </w:rPr>
        <w:t xml:space="preserve"> TWC § 13.185(i).</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 xml:space="preserve">Has the utility acquired any </w:t>
      </w:r>
      <w:r w:rsidR="004E3983">
        <w:rPr>
          <w:rFonts w:eastAsia="Times New Roman"/>
          <w:szCs w:val="20"/>
        </w:rPr>
        <w:t>sewer</w:t>
      </w:r>
      <w:r w:rsidRPr="00193735">
        <w:rPr>
          <w:rFonts w:eastAsia="Times New Roman"/>
          <w:szCs w:val="20"/>
        </w:rPr>
        <w:t xml:space="preserve"> property from an affiliate?  If so, do the payments for that proper</w:t>
      </w:r>
      <w:r>
        <w:rPr>
          <w:rFonts w:eastAsia="Times New Roman"/>
          <w:szCs w:val="20"/>
        </w:rPr>
        <w:t xml:space="preserve">ty meet the requirements of TWC § 13.185(e)? </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 xml:space="preserve">Has the utility financed any of its plant with developer contributions? </w:t>
      </w:r>
      <w:r>
        <w:rPr>
          <w:rFonts w:eastAsia="Times New Roman"/>
          <w:szCs w:val="20"/>
        </w:rPr>
        <w:t>TWC § 13.185(j), 16 TAC § 24.31(b)(1)(B).</w:t>
      </w:r>
      <w:r w:rsidRPr="00193735">
        <w:rPr>
          <w:rFonts w:eastAsia="Times New Roman"/>
          <w:szCs w:val="20"/>
        </w:rPr>
        <w:t xml:space="preserve"> </w:t>
      </w:r>
      <w:r>
        <w:rPr>
          <w:rFonts w:eastAsia="Times New Roman"/>
          <w:szCs w:val="20"/>
        </w:rPr>
        <w:t xml:space="preserve"> </w:t>
      </w:r>
      <w:r w:rsidRPr="00193735">
        <w:rPr>
          <w:rFonts w:eastAsia="Times New Roman"/>
          <w:szCs w:val="20"/>
        </w:rPr>
        <w:t>What is the amount, if any, of accumulated depreciation on that property?</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Has the utility included any customer contributions or donations in invested capital?</w:t>
      </w:r>
      <w:r w:rsidRPr="00193735">
        <w:rPr>
          <w:rFonts w:eastAsia="Times New Roman"/>
          <w:vertAlign w:val="superscript"/>
        </w:rPr>
        <w:t xml:space="preserve"> </w:t>
      </w:r>
      <w:r>
        <w:rPr>
          <w:rFonts w:eastAsia="Times New Roman"/>
          <w:vertAlign w:val="superscript"/>
        </w:rPr>
        <w:t xml:space="preserve"> </w:t>
      </w:r>
      <w:r>
        <w:rPr>
          <w:rFonts w:eastAsia="Times New Roman"/>
          <w:szCs w:val="20"/>
        </w:rPr>
        <w:t>TWC § 13.185(j), 16 TAC § 24.31(c)(2)(B)(v).</w:t>
      </w:r>
    </w:p>
    <w:p w:rsidR="000D6CAC" w:rsidRPr="00193735" w:rsidRDefault="000D6CAC" w:rsidP="000D6CAC">
      <w:pPr>
        <w:numPr>
          <w:ilvl w:val="0"/>
          <w:numId w:val="11"/>
        </w:numPr>
        <w:spacing w:before="240" w:line="360" w:lineRule="auto"/>
        <w:ind w:hanging="720"/>
        <w:jc w:val="both"/>
        <w:rPr>
          <w:rFonts w:eastAsia="Times New Roman"/>
          <w:vertAlign w:val="superscript"/>
        </w:rPr>
      </w:pPr>
      <w:r w:rsidRPr="00193735">
        <w:rPr>
          <w:rFonts w:eastAsia="Times New Roman"/>
          <w:szCs w:val="20"/>
        </w:rPr>
        <w:lastRenderedPageBreak/>
        <w:t>What are the utility's reasonable and necessary operations and maintenance expenses?</w:t>
      </w:r>
      <w:r>
        <w:rPr>
          <w:rFonts w:eastAsia="Times New Roman"/>
          <w:szCs w:val="20"/>
        </w:rPr>
        <w:t xml:space="preserve"> 16 TAC § 24.31(b)(1)(A).</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are the utility's reasonable and necessary administrative and general expenses?</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advertising expense, contributions, and donations?</w:t>
      </w:r>
      <w:r>
        <w:rPr>
          <w:rFonts w:eastAsia="Times New Roman"/>
          <w:szCs w:val="20"/>
        </w:rPr>
        <w:t xml:space="preserve"> 16 TAC § 24.31(b)(1)(F).</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 xml:space="preserve">Are any expenses, including but not limited to, executive salaries, advertising expenses, </w:t>
      </w:r>
      <w:r>
        <w:rPr>
          <w:rFonts w:eastAsia="Times New Roman"/>
          <w:szCs w:val="20"/>
        </w:rPr>
        <w:t>rate</w:t>
      </w:r>
      <w:r>
        <w:rPr>
          <w:rFonts w:eastAsia="Times New Roman"/>
          <w:szCs w:val="20"/>
        </w:rPr>
        <w:noBreakHyphen/>
        <w:t xml:space="preserve">case expenses, </w:t>
      </w:r>
      <w:r w:rsidRPr="00193735">
        <w:rPr>
          <w:rFonts w:eastAsia="Times New Roman"/>
          <w:szCs w:val="20"/>
        </w:rPr>
        <w:t>legal expenses, penalties and interest on overdue taxes, criminal penalties or fines, and civil penalties or fines, unreasonable, unnecessary, or not in the public interest?</w:t>
      </w:r>
      <w:r>
        <w:rPr>
          <w:rFonts w:eastAsia="Times New Roman"/>
          <w:szCs w:val="20"/>
        </w:rPr>
        <w:t xml:space="preserve"> TWC § 13.185(h)(3); 16 TAC § 24.31(b)(2)(I).</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the utility’s reasonable and necessary expenses, if any, for pension and other post-employment benefits? </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Has the utility made any payments to affiliates?</w:t>
      </w:r>
    </w:p>
    <w:p w:rsidR="000D6CAC" w:rsidRPr="00193735" w:rsidRDefault="000D6CAC" w:rsidP="000D6CAC">
      <w:pPr>
        <w:numPr>
          <w:ilvl w:val="0"/>
          <w:numId w:val="12"/>
        </w:numPr>
        <w:spacing w:before="240" w:line="360" w:lineRule="auto"/>
        <w:jc w:val="both"/>
        <w:rPr>
          <w:rFonts w:eastAsia="Times New Roman"/>
          <w:szCs w:val="20"/>
        </w:rPr>
      </w:pPr>
      <w:r w:rsidRPr="00193735">
        <w:rPr>
          <w:rFonts w:eastAsia="Times New Roman"/>
          <w:szCs w:val="20"/>
        </w:rPr>
        <w:t>For affiliate transactions that affect the cost of service, are these transactions reasonable and necessary?</w:t>
      </w:r>
      <w:r>
        <w:rPr>
          <w:rFonts w:eastAsia="Times New Roman"/>
          <w:szCs w:val="20"/>
        </w:rPr>
        <w:t xml:space="preserve"> TWC § 13.185(e).</w:t>
      </w:r>
    </w:p>
    <w:p w:rsidR="000D6CAC" w:rsidRPr="00193735" w:rsidRDefault="000D6CAC" w:rsidP="000D6CAC">
      <w:pPr>
        <w:numPr>
          <w:ilvl w:val="0"/>
          <w:numId w:val="12"/>
        </w:numPr>
        <w:spacing w:before="240" w:line="360" w:lineRule="auto"/>
        <w:jc w:val="both"/>
        <w:rPr>
          <w:rFonts w:eastAsia="Times New Roman"/>
          <w:szCs w:val="20"/>
        </w:rPr>
      </w:pPr>
      <w:r w:rsidRPr="00193735">
        <w:rPr>
          <w:rFonts w:eastAsia="Times New Roman"/>
          <w:szCs w:val="2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Pr>
          <w:rFonts w:eastAsia="Times New Roman"/>
          <w:szCs w:val="20"/>
        </w:rPr>
        <w:t xml:space="preserve"> TWC § 13.185(e).</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depreciation expense?  For each class of property, what are the proper and adequate depreciation rates (including service lives and salvage values) and methods of depreciation?</w:t>
      </w:r>
      <w:r>
        <w:rPr>
          <w:rFonts w:eastAsia="Times New Roman"/>
          <w:szCs w:val="20"/>
        </w:rPr>
        <w:t xml:space="preserve"> TWC § 13.185(j); 16 TAC § 24.31(b)(1)(B).</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if any, for assessment and taxes other than federal income taxes?</w:t>
      </w:r>
      <w:r>
        <w:rPr>
          <w:rFonts w:eastAsia="Times New Roman"/>
          <w:szCs w:val="20"/>
        </w:rPr>
        <w:t xml:space="preserve"> 16 TAC § 24.31(b)(1)(C).</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federal income tax expense?</w:t>
      </w:r>
      <w:r>
        <w:rPr>
          <w:rFonts w:eastAsia="Times New Roman"/>
          <w:szCs w:val="20"/>
        </w:rPr>
        <w:t xml:space="preserve"> 16 TAC § 24.31(b)(1)(D); TWC § 13.185(f).</w:t>
      </w:r>
    </w:p>
    <w:p w:rsidR="000D6CAC" w:rsidRPr="00193735" w:rsidRDefault="000D6CAC" w:rsidP="000D6CAC">
      <w:pPr>
        <w:numPr>
          <w:ilvl w:val="0"/>
          <w:numId w:val="13"/>
        </w:numPr>
        <w:spacing w:before="240" w:line="360" w:lineRule="auto"/>
        <w:jc w:val="both"/>
        <w:rPr>
          <w:rFonts w:eastAsia="Times New Roman"/>
          <w:szCs w:val="20"/>
        </w:rPr>
      </w:pPr>
      <w:r w:rsidRPr="00193735">
        <w:rPr>
          <w:rFonts w:eastAsia="Times New Roman"/>
          <w:szCs w:val="20"/>
        </w:rPr>
        <w:t>Is the utility a member of an affiliated group that is eligible to file a consolidated income tax return?</w:t>
      </w:r>
      <w:r>
        <w:rPr>
          <w:rFonts w:eastAsia="Times New Roman"/>
          <w:szCs w:val="20"/>
        </w:rPr>
        <w:t xml:space="preserve"> TWC § 13.185(f).</w:t>
      </w:r>
    </w:p>
    <w:p w:rsidR="000D6CAC" w:rsidRPr="00193735" w:rsidRDefault="000D6CAC" w:rsidP="000D6CAC">
      <w:pPr>
        <w:numPr>
          <w:ilvl w:val="0"/>
          <w:numId w:val="13"/>
        </w:numPr>
        <w:spacing w:before="240" w:line="360" w:lineRule="auto"/>
        <w:jc w:val="both"/>
        <w:rPr>
          <w:rFonts w:eastAsia="Times New Roman"/>
          <w:szCs w:val="20"/>
        </w:rPr>
      </w:pPr>
      <w:r w:rsidRPr="00193735">
        <w:rPr>
          <w:rFonts w:eastAsia="Times New Roman"/>
          <w:szCs w:val="20"/>
        </w:rPr>
        <w:t xml:space="preserve">If so, have income taxes been computed as though a consolidated return had been filed and the utility </w:t>
      </w:r>
      <w:r>
        <w:rPr>
          <w:rFonts w:eastAsia="Times New Roman"/>
          <w:szCs w:val="20"/>
        </w:rPr>
        <w:t xml:space="preserve">had </w:t>
      </w:r>
      <w:r w:rsidRPr="00193735">
        <w:rPr>
          <w:rFonts w:eastAsia="Times New Roman"/>
          <w:szCs w:val="20"/>
        </w:rPr>
        <w:t>realized its fair share of the savings resulting from the consolidated return?</w:t>
      </w:r>
      <w:r>
        <w:rPr>
          <w:rFonts w:eastAsia="Times New Roman"/>
          <w:szCs w:val="20"/>
        </w:rPr>
        <w:t xml:space="preserve"> TWC § 13.185(f).</w:t>
      </w:r>
    </w:p>
    <w:p w:rsidR="000D6CAC" w:rsidRPr="00193735" w:rsidRDefault="000D6CAC" w:rsidP="000D6CAC">
      <w:pPr>
        <w:numPr>
          <w:ilvl w:val="0"/>
          <w:numId w:val="13"/>
        </w:numPr>
        <w:spacing w:before="240" w:line="360" w:lineRule="auto"/>
        <w:jc w:val="both"/>
        <w:rPr>
          <w:rFonts w:eastAsia="Times New Roman"/>
          <w:szCs w:val="20"/>
        </w:rPr>
      </w:pPr>
      <w:r w:rsidRPr="00193735">
        <w:rPr>
          <w:rFonts w:eastAsia="Times New Roman"/>
          <w:szCs w:val="20"/>
        </w:rPr>
        <w:t>If not, has the utility demonstrated that it was reasonable not to consolidate returns?</w:t>
      </w:r>
      <w:r>
        <w:rPr>
          <w:rFonts w:eastAsia="Times New Roman"/>
          <w:szCs w:val="20"/>
        </w:rPr>
        <w:t xml:space="preserve"> TWC § 13.185(f).</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municipal franchise fees, if any, to be included in rates? </w:t>
      </w:r>
    </w:p>
    <w:p w:rsidR="000D6CAC" w:rsidRPr="00193735"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What regulatory assets are appropriately included in the utility’s rate base?  If such assets are included in rate base, what is the appropriate treatment of such assets?</w:t>
      </w:r>
    </w:p>
    <w:p w:rsidR="000D6CAC" w:rsidRDefault="000D6CAC" w:rsidP="000D6CAC">
      <w:pPr>
        <w:numPr>
          <w:ilvl w:val="0"/>
          <w:numId w:val="11"/>
        </w:numPr>
        <w:spacing w:before="240" w:line="360" w:lineRule="auto"/>
        <w:ind w:hanging="720"/>
        <w:jc w:val="both"/>
        <w:rPr>
          <w:rFonts w:eastAsia="Times New Roman"/>
          <w:szCs w:val="20"/>
        </w:rPr>
      </w:pPr>
      <w:r w:rsidRPr="00193735">
        <w:rPr>
          <w:rFonts w:eastAsia="Times New Roman"/>
          <w:szCs w:val="20"/>
        </w:rPr>
        <w:t>Is the utility seeking rates for both water and sewer service?  If so, is each component of cost of service (each allowable expense and all return on invested capital) properly allocated between water and sewer services?</w:t>
      </w:r>
    </w:p>
    <w:p w:rsidR="000D6CAC" w:rsidRDefault="000D6CAC" w:rsidP="000D6CAC">
      <w:pPr>
        <w:numPr>
          <w:ilvl w:val="0"/>
          <w:numId w:val="11"/>
        </w:numPr>
        <w:spacing w:before="240" w:line="360" w:lineRule="auto"/>
        <w:ind w:hanging="720"/>
        <w:jc w:val="both"/>
        <w:rPr>
          <w:rFonts w:eastAsia="Times New Roman"/>
          <w:szCs w:val="20"/>
        </w:rPr>
      </w:pPr>
      <w:r>
        <w:rPr>
          <w:rFonts w:eastAsia="Times New Roman"/>
          <w:szCs w:val="20"/>
        </w:rPr>
        <w:t>What is the appropriate allocation of costs and revenues among the utility’s rate classes?</w:t>
      </w:r>
    </w:p>
    <w:p w:rsidR="000D6CAC" w:rsidRDefault="000D6CAC" w:rsidP="000D6CAC">
      <w:pPr>
        <w:numPr>
          <w:ilvl w:val="0"/>
          <w:numId w:val="11"/>
        </w:numPr>
        <w:spacing w:before="240" w:line="360" w:lineRule="auto"/>
        <w:ind w:hanging="720"/>
        <w:jc w:val="both"/>
        <w:rPr>
          <w:rFonts w:eastAsia="Times New Roman"/>
          <w:szCs w:val="20"/>
        </w:rPr>
      </w:pPr>
      <w:r>
        <w:rPr>
          <w:rFonts w:eastAsia="Times New Roman"/>
          <w:szCs w:val="20"/>
        </w:rPr>
        <w:t>What is the appropriate rate design for each rate class? 16 TAC § 24.32.</w:t>
      </w:r>
    </w:p>
    <w:p w:rsidR="000D6CAC" w:rsidRDefault="000D6CAC" w:rsidP="000D6CAC">
      <w:pPr>
        <w:numPr>
          <w:ilvl w:val="0"/>
          <w:numId w:val="11"/>
        </w:numPr>
        <w:spacing w:before="240" w:line="360" w:lineRule="auto"/>
        <w:ind w:hanging="720"/>
        <w:jc w:val="both"/>
        <w:rPr>
          <w:rFonts w:eastAsia="Times New Roman"/>
          <w:szCs w:val="20"/>
        </w:rPr>
      </w:pPr>
      <w:r>
        <w:rPr>
          <w:rFonts w:eastAsia="Times New Roman"/>
          <w:szCs w:val="20"/>
        </w:rPr>
        <w:t>Should the utility use the current number of connections as of the date of the application as opposed to using the number of test-year-end connections in designing rates?</w:t>
      </w:r>
    </w:p>
    <w:p w:rsidR="000D6CAC" w:rsidRDefault="000D6CAC" w:rsidP="000D6CAC">
      <w:pPr>
        <w:numPr>
          <w:ilvl w:val="0"/>
          <w:numId w:val="11"/>
        </w:numPr>
        <w:spacing w:before="240" w:line="360" w:lineRule="auto"/>
        <w:ind w:hanging="720"/>
        <w:jc w:val="both"/>
        <w:rPr>
          <w:rFonts w:eastAsia="Times New Roman"/>
          <w:szCs w:val="20"/>
        </w:rPr>
      </w:pPr>
      <w:r>
        <w:rPr>
          <w:rFonts w:eastAsia="Times New Roman"/>
          <w:szCs w:val="20"/>
        </w:rPr>
        <w:t>What are the utility’s expenses incurred in this rate proceeding that are just, reasonable, necessary, and in the public interest? 16 TAC § 24.33.  Does that amount include any prospective rate-case expenses to be incurred after the Commission’s final order?  Should the utility be able to recover its reasonable and necessary rate-case expenses from ratepayers?  If so, how should such expenses, if any, be recovered by the utility?</w:t>
      </w:r>
    </w:p>
    <w:p w:rsidR="000D6CAC" w:rsidRDefault="000D6CAC" w:rsidP="000D6CAC">
      <w:pPr>
        <w:numPr>
          <w:ilvl w:val="0"/>
          <w:numId w:val="11"/>
        </w:numPr>
        <w:spacing w:before="240" w:line="360" w:lineRule="auto"/>
        <w:ind w:hanging="720"/>
        <w:jc w:val="both"/>
        <w:rPr>
          <w:rFonts w:eastAsia="Times New Roman"/>
          <w:szCs w:val="20"/>
        </w:rPr>
      </w:pPr>
      <w:r>
        <w:rPr>
          <w:rFonts w:eastAsia="Times New Roman"/>
          <w:szCs w:val="20"/>
        </w:rPr>
        <w:t>If a refund or surcharge results from this proceeding, how and over what period of time should that be made? TWC § 13.1871.</w:t>
      </w:r>
    </w:p>
    <w:p w:rsidR="000D6CAC" w:rsidRDefault="000D6CAC" w:rsidP="000D6CAC">
      <w:pPr>
        <w:numPr>
          <w:ilvl w:val="0"/>
          <w:numId w:val="11"/>
        </w:numPr>
        <w:spacing w:before="240" w:line="360" w:lineRule="auto"/>
        <w:ind w:hanging="720"/>
        <w:jc w:val="both"/>
        <w:rPr>
          <w:rFonts w:eastAsia="Times New Roman"/>
          <w:szCs w:val="20"/>
        </w:rPr>
      </w:pPr>
      <w:r>
        <w:rPr>
          <w:rFonts w:eastAsia="Times New Roman"/>
          <w:szCs w:val="20"/>
        </w:rPr>
        <w:t>Has the utility met the requirements for a request for interim relief in the form of interim rates?  If so, what are the appropriate levels of the interim rates? 16 TAC § 24.29.</w:t>
      </w:r>
    </w:p>
    <w:p w:rsidR="000D6CAC" w:rsidRPr="00193735" w:rsidRDefault="000D6CAC" w:rsidP="000D6CAC">
      <w:pPr>
        <w:numPr>
          <w:ilvl w:val="0"/>
          <w:numId w:val="11"/>
        </w:numPr>
        <w:spacing w:before="240" w:line="360" w:lineRule="auto"/>
        <w:ind w:hanging="720"/>
        <w:jc w:val="both"/>
        <w:rPr>
          <w:rFonts w:eastAsia="Times New Roman"/>
          <w:szCs w:val="20"/>
        </w:rPr>
      </w:pPr>
      <w:r>
        <w:rPr>
          <w:rFonts w:eastAsia="Times New Roman"/>
          <w:szCs w:val="20"/>
        </w:rPr>
        <w:t>What is the appropriate effective date of the rates fixed by the Commission in this proceeding? TWC § 13.1871.</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w:t>
      </w:r>
      <w:r w:rsidR="00CA4BFB">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66596F">
        <w:t>November</w:t>
      </w:r>
      <w:r>
        <w:t xml:space="preserve"> 20</w:t>
      </w:r>
      <w:r w:rsidR="0066596F">
        <w:t>17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8C18DA" w:rsidP="00160DCD">
      <w:pPr>
        <w:pStyle w:val="Signatures"/>
      </w:pPr>
      <w:r>
        <w:t>DEANN T. WALKER</w:t>
      </w:r>
      <w:r w:rsidR="00160DCD">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186296" w:rsidP="0062202F">
      <w:pPr>
        <w:pStyle w:val="EndMatter"/>
      </w:pPr>
      <w:fldSimple w:instr=" FILENAME  \* Lower \p  \* MERGEFORMAT ">
        <w:r w:rsidR="006F4DFC">
          <w:rPr>
            <w:noProof/>
          </w:rPr>
          <w:t>q:\cadm\orders\prelim\47000\47424 dpo.docx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8F7" w:rsidRDefault="00A148F7" w:rsidP="00D03394">
      <w:r>
        <w:separator/>
      </w:r>
    </w:p>
  </w:endnote>
  <w:endnote w:type="continuationSeparator" w:id="0">
    <w:p w:rsidR="00A148F7" w:rsidRDefault="00A148F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8F7" w:rsidRDefault="00A148F7" w:rsidP="00D03394">
      <w:r>
        <w:separator/>
      </w:r>
    </w:p>
  </w:footnote>
  <w:footnote w:type="continuationSeparator" w:id="0">
    <w:p w:rsidR="00A148F7" w:rsidRDefault="00A148F7" w:rsidP="00D03394">
      <w:r>
        <w:continuationSeparator/>
      </w:r>
    </w:p>
  </w:footnote>
  <w:footnote w:id="1">
    <w:p w:rsidR="004500AC" w:rsidRDefault="004500AC" w:rsidP="00BE76B2">
      <w:pPr>
        <w:pStyle w:val="FootnoteText"/>
        <w:spacing w:before="120"/>
      </w:pPr>
      <w:r>
        <w:rPr>
          <w:rStyle w:val="FootnoteReference"/>
        </w:rPr>
        <w:footnoteRef/>
      </w:r>
      <w:r>
        <w:t xml:space="preserve">  Application at </w:t>
      </w:r>
      <w:r w:rsidR="00C26B97">
        <w:t xml:space="preserve">1, </w:t>
      </w:r>
      <w:r>
        <w:t>9.</w:t>
      </w:r>
    </w:p>
  </w:footnote>
  <w:footnote w:id="2">
    <w:p w:rsidR="003A376B" w:rsidRDefault="003A376B" w:rsidP="00BE76B2">
      <w:pPr>
        <w:pStyle w:val="FootnoteText"/>
        <w:spacing w:before="120"/>
      </w:pPr>
      <w:r>
        <w:rPr>
          <w:rStyle w:val="FootnoteReference"/>
        </w:rPr>
        <w:footnoteRef/>
      </w:r>
      <w:r>
        <w:t xml:space="preserve"> </w:t>
      </w:r>
      <w:r w:rsidR="00481879">
        <w:t xml:space="preserve"> </w:t>
      </w:r>
      <w:r w:rsidR="000A477D">
        <w:rPr>
          <w:i/>
        </w:rPr>
        <w:t>Id</w:t>
      </w:r>
      <w:r w:rsidR="000A477D">
        <w:t>.</w:t>
      </w:r>
      <w:r w:rsidR="008970FD">
        <w:t xml:space="preserve"> at 1.</w:t>
      </w:r>
    </w:p>
  </w:footnote>
  <w:footnote w:id="3">
    <w:p w:rsidR="00832204" w:rsidRDefault="00832204" w:rsidP="00BE76B2">
      <w:pPr>
        <w:pStyle w:val="FootnoteText"/>
        <w:spacing w:before="120"/>
      </w:pPr>
      <w:r>
        <w:rPr>
          <w:rStyle w:val="FootnoteReference"/>
        </w:rPr>
        <w:footnoteRef/>
      </w:r>
      <w:r>
        <w:t xml:space="preserve">  </w:t>
      </w:r>
      <w:r>
        <w:rPr>
          <w:i/>
        </w:rPr>
        <w:t>Id</w:t>
      </w:r>
      <w:r>
        <w:t>. at 50, Notice of Proposed Rate Change.</w:t>
      </w:r>
    </w:p>
  </w:footnote>
  <w:footnote w:id="4">
    <w:p w:rsidR="000A477D" w:rsidRPr="00F40CF8" w:rsidRDefault="00EB6560" w:rsidP="00BE76B2">
      <w:pPr>
        <w:pStyle w:val="FootnoteText"/>
        <w:spacing w:before="120"/>
      </w:pPr>
      <w:r>
        <w:rPr>
          <w:rStyle w:val="FootnoteReference"/>
        </w:rPr>
        <w:footnoteRef/>
      </w:r>
      <w:r>
        <w:t xml:space="preserve"> </w:t>
      </w:r>
      <w:r w:rsidR="00F40CF8">
        <w:t xml:space="preserve"> </w:t>
      </w:r>
      <w:r w:rsidR="00F40CF8">
        <w:rPr>
          <w:i/>
        </w:rPr>
        <w:t>Id</w:t>
      </w:r>
      <w:r w:rsidR="00F40CF8">
        <w:t>.</w:t>
      </w:r>
    </w:p>
  </w:footnote>
  <w:footnote w:id="5">
    <w:p w:rsidR="004E39CA" w:rsidRDefault="004E39CA" w:rsidP="00BE76B2">
      <w:pPr>
        <w:pStyle w:val="FootnoteText"/>
        <w:spacing w:before="120"/>
      </w:pPr>
      <w:r>
        <w:rPr>
          <w:rStyle w:val="FootnoteReference"/>
        </w:rPr>
        <w:footnoteRef/>
      </w:r>
      <w:r>
        <w:t xml:space="preserve"> Order No. 4</w:t>
      </w:r>
      <w:r w:rsidRPr="004E39CA">
        <w:t xml:space="preserve"> </w:t>
      </w:r>
      <w:r>
        <w:t>(</w:t>
      </w:r>
      <w:r w:rsidR="00BE76B2">
        <w:t>Oct.</w:t>
      </w:r>
      <w:r>
        <w:t xml:space="preserve"> 11, 2017).</w:t>
      </w:r>
    </w:p>
  </w:footnote>
  <w:footnote w:id="6">
    <w:p w:rsidR="006F2036" w:rsidRPr="002133F3" w:rsidRDefault="006F2036" w:rsidP="00BE76B2">
      <w:pPr>
        <w:pStyle w:val="FootnoteText"/>
        <w:spacing w:before="120"/>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4D38AC">
        <w:rPr>
          <w:lang w:val="pt-BR"/>
        </w:rPr>
        <w:t>West 2016</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861736">
    <w:pPr>
      <w:pStyle w:val="Header"/>
    </w:pPr>
    <w:r>
      <w:t>PUC Docket No. 47424</w:t>
    </w:r>
    <w:r w:rsidR="00ED04FC">
      <w:tab/>
    </w:r>
    <w:r w:rsidR="00B12AC5">
      <w:t xml:space="preserve">Draft 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155BC7">
      <w:rPr>
        <w:noProof/>
      </w:rPr>
      <w:t>7</w:t>
    </w:r>
    <w:r w:rsidR="00ED04FC">
      <w:fldChar w:fldCharType="end"/>
    </w:r>
    <w:r w:rsidR="00ED04FC">
      <w:t xml:space="preserve"> of </w:t>
    </w:r>
    <w:fldSimple w:instr=" NUMPAGES   \* MERGEFORMAT ">
      <w:r w:rsidR="00155BC7">
        <w:rPr>
          <w:noProof/>
        </w:rPr>
        <w:t>7</w:t>
      </w:r>
    </w:fldSimple>
  </w:p>
  <w:p w:rsidR="00ED04FC" w:rsidRDefault="00ED04FC">
    <w:pPr>
      <w:pStyle w:val="Header"/>
    </w:pPr>
    <w:r>
      <w:t xml:space="preserve">SOAH Docket </w:t>
    </w:r>
    <w:r w:rsidR="00861736">
      <w:t>No. 473-18-0533.WS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1315B5"/>
    <w:multiLevelType w:val="hybridMultilevel"/>
    <w:tmpl w:val="1EC4C7B8"/>
    <w:lvl w:ilvl="0" w:tplc="FDD68626">
      <w:start w:val="1"/>
      <w:numFmt w:val="upperRoman"/>
      <w:lvlText w:val="%1."/>
      <w:lvlJc w:val="right"/>
      <w:pPr>
        <w:ind w:left="720" w:hanging="360"/>
      </w:pPr>
    </w:lvl>
    <w:lvl w:ilvl="1" w:tplc="06564C70" w:tentative="1">
      <w:start w:val="1"/>
      <w:numFmt w:val="lowerLetter"/>
      <w:lvlText w:val="%2."/>
      <w:lvlJc w:val="left"/>
      <w:pPr>
        <w:ind w:left="1440" w:hanging="360"/>
      </w:pPr>
    </w:lvl>
    <w:lvl w:ilvl="2" w:tplc="D074A940" w:tentative="1">
      <w:start w:val="1"/>
      <w:numFmt w:val="lowerRoman"/>
      <w:lvlText w:val="%3."/>
      <w:lvlJc w:val="right"/>
      <w:pPr>
        <w:ind w:left="2160" w:hanging="180"/>
      </w:pPr>
    </w:lvl>
    <w:lvl w:ilvl="3" w:tplc="67302422" w:tentative="1">
      <w:start w:val="1"/>
      <w:numFmt w:val="decimal"/>
      <w:lvlText w:val="%4."/>
      <w:lvlJc w:val="left"/>
      <w:pPr>
        <w:ind w:left="2880" w:hanging="360"/>
      </w:pPr>
    </w:lvl>
    <w:lvl w:ilvl="4" w:tplc="88802992" w:tentative="1">
      <w:start w:val="1"/>
      <w:numFmt w:val="lowerLetter"/>
      <w:lvlText w:val="%5."/>
      <w:lvlJc w:val="left"/>
      <w:pPr>
        <w:ind w:left="3600" w:hanging="360"/>
      </w:pPr>
    </w:lvl>
    <w:lvl w:ilvl="5" w:tplc="131A15E2" w:tentative="1">
      <w:start w:val="1"/>
      <w:numFmt w:val="lowerRoman"/>
      <w:lvlText w:val="%6."/>
      <w:lvlJc w:val="right"/>
      <w:pPr>
        <w:ind w:left="4320" w:hanging="180"/>
      </w:pPr>
    </w:lvl>
    <w:lvl w:ilvl="6" w:tplc="E36E7496" w:tentative="1">
      <w:start w:val="1"/>
      <w:numFmt w:val="decimal"/>
      <w:lvlText w:val="%7."/>
      <w:lvlJc w:val="left"/>
      <w:pPr>
        <w:ind w:left="5040" w:hanging="360"/>
      </w:pPr>
    </w:lvl>
    <w:lvl w:ilvl="7" w:tplc="2708BF1C" w:tentative="1">
      <w:start w:val="1"/>
      <w:numFmt w:val="lowerLetter"/>
      <w:lvlText w:val="%8."/>
      <w:lvlJc w:val="left"/>
      <w:pPr>
        <w:ind w:left="5760" w:hanging="360"/>
      </w:pPr>
    </w:lvl>
    <w:lvl w:ilvl="8" w:tplc="39CA7840"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7" w15:restartNumberingAfterBreak="0">
    <w:nsid w:val="5FF6204A"/>
    <w:multiLevelType w:val="hybridMultilevel"/>
    <w:tmpl w:val="5F64109C"/>
    <w:lvl w:ilvl="0" w:tplc="409C0B30">
      <w:start w:val="1"/>
      <w:numFmt w:val="decimal"/>
      <w:pStyle w:val="ThresholdIssue"/>
      <w:lvlText w:val="%1."/>
      <w:lvlJc w:val="left"/>
      <w:pPr>
        <w:tabs>
          <w:tab w:val="num" w:pos="720"/>
        </w:tabs>
        <w:ind w:left="720" w:hanging="720"/>
      </w:pPr>
      <w:rPr>
        <w:rFonts w:hint="default"/>
        <w:b/>
      </w:rPr>
    </w:lvl>
    <w:lvl w:ilvl="1" w:tplc="96FE0CE4" w:tentative="1">
      <w:start w:val="1"/>
      <w:numFmt w:val="lowerLetter"/>
      <w:lvlText w:val="%2."/>
      <w:lvlJc w:val="left"/>
      <w:pPr>
        <w:tabs>
          <w:tab w:val="num" w:pos="720"/>
        </w:tabs>
        <w:ind w:left="720" w:hanging="360"/>
      </w:pPr>
    </w:lvl>
    <w:lvl w:ilvl="2" w:tplc="EB9C7BF6" w:tentative="1">
      <w:start w:val="1"/>
      <w:numFmt w:val="lowerRoman"/>
      <w:lvlText w:val="%3."/>
      <w:lvlJc w:val="right"/>
      <w:pPr>
        <w:tabs>
          <w:tab w:val="num" w:pos="1440"/>
        </w:tabs>
        <w:ind w:left="1440" w:hanging="180"/>
      </w:pPr>
    </w:lvl>
    <w:lvl w:ilvl="3" w:tplc="FDB47558" w:tentative="1">
      <w:start w:val="1"/>
      <w:numFmt w:val="decimal"/>
      <w:lvlText w:val="%4."/>
      <w:lvlJc w:val="left"/>
      <w:pPr>
        <w:tabs>
          <w:tab w:val="num" w:pos="2160"/>
        </w:tabs>
        <w:ind w:left="2160" w:hanging="360"/>
      </w:pPr>
    </w:lvl>
    <w:lvl w:ilvl="4" w:tplc="0F8CC09C" w:tentative="1">
      <w:start w:val="1"/>
      <w:numFmt w:val="lowerLetter"/>
      <w:lvlText w:val="%5."/>
      <w:lvlJc w:val="left"/>
      <w:pPr>
        <w:tabs>
          <w:tab w:val="num" w:pos="2880"/>
        </w:tabs>
        <w:ind w:left="2880" w:hanging="360"/>
      </w:pPr>
    </w:lvl>
    <w:lvl w:ilvl="5" w:tplc="D07CBCF6" w:tentative="1">
      <w:start w:val="1"/>
      <w:numFmt w:val="lowerRoman"/>
      <w:lvlText w:val="%6."/>
      <w:lvlJc w:val="right"/>
      <w:pPr>
        <w:tabs>
          <w:tab w:val="num" w:pos="3600"/>
        </w:tabs>
        <w:ind w:left="3600" w:hanging="180"/>
      </w:pPr>
    </w:lvl>
    <w:lvl w:ilvl="6" w:tplc="A3160638" w:tentative="1">
      <w:start w:val="1"/>
      <w:numFmt w:val="decimal"/>
      <w:lvlText w:val="%7."/>
      <w:lvlJc w:val="left"/>
      <w:pPr>
        <w:tabs>
          <w:tab w:val="num" w:pos="4320"/>
        </w:tabs>
        <w:ind w:left="4320" w:hanging="360"/>
      </w:pPr>
    </w:lvl>
    <w:lvl w:ilvl="7" w:tplc="0C9AB3C4" w:tentative="1">
      <w:start w:val="1"/>
      <w:numFmt w:val="lowerLetter"/>
      <w:lvlText w:val="%8."/>
      <w:lvlJc w:val="left"/>
      <w:pPr>
        <w:tabs>
          <w:tab w:val="num" w:pos="5040"/>
        </w:tabs>
        <w:ind w:left="5040" w:hanging="360"/>
      </w:pPr>
    </w:lvl>
    <w:lvl w:ilvl="8" w:tplc="E6CCA714" w:tentative="1">
      <w:start w:val="1"/>
      <w:numFmt w:val="lowerRoman"/>
      <w:lvlText w:val="%9."/>
      <w:lvlJc w:val="right"/>
      <w:pPr>
        <w:tabs>
          <w:tab w:val="num" w:pos="5760"/>
        </w:tabs>
        <w:ind w:left="5760" w:hanging="180"/>
      </w:pPr>
    </w:lvl>
  </w:abstractNum>
  <w:abstractNum w:abstractNumId="8"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2"/>
  </w:num>
  <w:num w:numId="4">
    <w:abstractNumId w:val="11"/>
  </w:num>
  <w:num w:numId="5">
    <w:abstractNumId w:val="4"/>
  </w:num>
  <w:num w:numId="6">
    <w:abstractNumId w:val="8"/>
  </w:num>
  <w:num w:numId="7">
    <w:abstractNumId w:val="10"/>
  </w:num>
  <w:num w:numId="8">
    <w:abstractNumId w:val="0"/>
  </w:num>
  <w:num w:numId="9">
    <w:abstractNumId w:val="7"/>
  </w:num>
  <w:num w:numId="10">
    <w:abstractNumId w:val="5"/>
  </w:num>
  <w:num w:numId="11">
    <w:abstractNumId w:val="6"/>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8F7"/>
    <w:rsid w:val="000219D7"/>
    <w:rsid w:val="00056E09"/>
    <w:rsid w:val="00066848"/>
    <w:rsid w:val="000A477D"/>
    <w:rsid w:val="000D263E"/>
    <w:rsid w:val="000D6CAC"/>
    <w:rsid w:val="000E5DBE"/>
    <w:rsid w:val="000F344D"/>
    <w:rsid w:val="001169CA"/>
    <w:rsid w:val="0014770C"/>
    <w:rsid w:val="00155BC7"/>
    <w:rsid w:val="00160D4D"/>
    <w:rsid w:val="00160DCD"/>
    <w:rsid w:val="001712B1"/>
    <w:rsid w:val="00172829"/>
    <w:rsid w:val="00175456"/>
    <w:rsid w:val="00180B03"/>
    <w:rsid w:val="00186296"/>
    <w:rsid w:val="001869AD"/>
    <w:rsid w:val="001A1B00"/>
    <w:rsid w:val="001D5C55"/>
    <w:rsid w:val="001E360C"/>
    <w:rsid w:val="001E4F0B"/>
    <w:rsid w:val="001F10CC"/>
    <w:rsid w:val="0020747D"/>
    <w:rsid w:val="00235479"/>
    <w:rsid w:val="00266F9F"/>
    <w:rsid w:val="002840AB"/>
    <w:rsid w:val="00297A0A"/>
    <w:rsid w:val="002C230F"/>
    <w:rsid w:val="002D1477"/>
    <w:rsid w:val="00305386"/>
    <w:rsid w:val="003065DF"/>
    <w:rsid w:val="00312838"/>
    <w:rsid w:val="00322332"/>
    <w:rsid w:val="0032501E"/>
    <w:rsid w:val="003A376B"/>
    <w:rsid w:val="00410314"/>
    <w:rsid w:val="00433B5E"/>
    <w:rsid w:val="004500AC"/>
    <w:rsid w:val="00460626"/>
    <w:rsid w:val="00465660"/>
    <w:rsid w:val="0046644C"/>
    <w:rsid w:val="00481879"/>
    <w:rsid w:val="004D38AC"/>
    <w:rsid w:val="004D4E8A"/>
    <w:rsid w:val="004E082A"/>
    <w:rsid w:val="004E3983"/>
    <w:rsid w:val="004E39CA"/>
    <w:rsid w:val="00516EDA"/>
    <w:rsid w:val="0052294D"/>
    <w:rsid w:val="00534D0A"/>
    <w:rsid w:val="0055034A"/>
    <w:rsid w:val="005A400B"/>
    <w:rsid w:val="005C3512"/>
    <w:rsid w:val="00604A1C"/>
    <w:rsid w:val="0062202F"/>
    <w:rsid w:val="00664157"/>
    <w:rsid w:val="0066596F"/>
    <w:rsid w:val="00667835"/>
    <w:rsid w:val="0067042C"/>
    <w:rsid w:val="0067692D"/>
    <w:rsid w:val="00677B5E"/>
    <w:rsid w:val="006A35E2"/>
    <w:rsid w:val="006C3DFD"/>
    <w:rsid w:val="006D5A64"/>
    <w:rsid w:val="006E4E3E"/>
    <w:rsid w:val="006E5DEB"/>
    <w:rsid w:val="006F2036"/>
    <w:rsid w:val="006F4DFC"/>
    <w:rsid w:val="007248A4"/>
    <w:rsid w:val="007572FC"/>
    <w:rsid w:val="00770BBC"/>
    <w:rsid w:val="007753D6"/>
    <w:rsid w:val="007A21C6"/>
    <w:rsid w:val="007B0B74"/>
    <w:rsid w:val="007D2349"/>
    <w:rsid w:val="007D618F"/>
    <w:rsid w:val="007F53E3"/>
    <w:rsid w:val="0080046C"/>
    <w:rsid w:val="00803EBB"/>
    <w:rsid w:val="00823354"/>
    <w:rsid w:val="00832204"/>
    <w:rsid w:val="00861736"/>
    <w:rsid w:val="0086599C"/>
    <w:rsid w:val="008738BF"/>
    <w:rsid w:val="008970FD"/>
    <w:rsid w:val="008B7933"/>
    <w:rsid w:val="008C18DA"/>
    <w:rsid w:val="008D1724"/>
    <w:rsid w:val="00926494"/>
    <w:rsid w:val="009556B6"/>
    <w:rsid w:val="00962B9C"/>
    <w:rsid w:val="00967B3E"/>
    <w:rsid w:val="009727E0"/>
    <w:rsid w:val="009C1919"/>
    <w:rsid w:val="009D250B"/>
    <w:rsid w:val="009F729E"/>
    <w:rsid w:val="00A035EA"/>
    <w:rsid w:val="00A148F7"/>
    <w:rsid w:val="00A26478"/>
    <w:rsid w:val="00A40798"/>
    <w:rsid w:val="00AA1BB9"/>
    <w:rsid w:val="00AB0EAA"/>
    <w:rsid w:val="00AE1224"/>
    <w:rsid w:val="00B007DD"/>
    <w:rsid w:val="00B12AC5"/>
    <w:rsid w:val="00B22348"/>
    <w:rsid w:val="00B62DE7"/>
    <w:rsid w:val="00B6411E"/>
    <w:rsid w:val="00B71CA8"/>
    <w:rsid w:val="00B82E21"/>
    <w:rsid w:val="00B966D9"/>
    <w:rsid w:val="00BD5249"/>
    <w:rsid w:val="00BE46CB"/>
    <w:rsid w:val="00BE76B2"/>
    <w:rsid w:val="00C1378F"/>
    <w:rsid w:val="00C15483"/>
    <w:rsid w:val="00C26B97"/>
    <w:rsid w:val="00C34A92"/>
    <w:rsid w:val="00C54659"/>
    <w:rsid w:val="00CA4BFB"/>
    <w:rsid w:val="00CD2B0A"/>
    <w:rsid w:val="00CE4215"/>
    <w:rsid w:val="00D03394"/>
    <w:rsid w:val="00D1503F"/>
    <w:rsid w:val="00D222B6"/>
    <w:rsid w:val="00D451DC"/>
    <w:rsid w:val="00D504A1"/>
    <w:rsid w:val="00D706B4"/>
    <w:rsid w:val="00D746FE"/>
    <w:rsid w:val="00D828E2"/>
    <w:rsid w:val="00D837FC"/>
    <w:rsid w:val="00D90779"/>
    <w:rsid w:val="00D91BE5"/>
    <w:rsid w:val="00DA453E"/>
    <w:rsid w:val="00DA6FA1"/>
    <w:rsid w:val="00DB343D"/>
    <w:rsid w:val="00DD7B89"/>
    <w:rsid w:val="00DF1D74"/>
    <w:rsid w:val="00E352B0"/>
    <w:rsid w:val="00E51FB4"/>
    <w:rsid w:val="00E6600E"/>
    <w:rsid w:val="00E930F3"/>
    <w:rsid w:val="00EB02D8"/>
    <w:rsid w:val="00EB3FB6"/>
    <w:rsid w:val="00EB6560"/>
    <w:rsid w:val="00EC1402"/>
    <w:rsid w:val="00ED04FC"/>
    <w:rsid w:val="00ED11C4"/>
    <w:rsid w:val="00ED1EC1"/>
    <w:rsid w:val="00EE1646"/>
    <w:rsid w:val="00EE5DDA"/>
    <w:rsid w:val="00F24715"/>
    <w:rsid w:val="00F40CF8"/>
    <w:rsid w:val="00F55171"/>
    <w:rsid w:val="00F771C9"/>
    <w:rsid w:val="00FA1E83"/>
    <w:rsid w:val="00FC3A96"/>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5:chartTrackingRefBased/>
  <w15:docId w15:val="{F1B4BA00-199C-415D-B7FE-5E573C88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B725D-C45D-440C-AB10-50BD6486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554</TotalTime>
  <Pages>7</Pages>
  <Words>1767</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dc:creator>
  <cp:keywords/>
  <dc:description/>
  <cp:lastModifiedBy>Hrncir, David</cp:lastModifiedBy>
  <cp:revision>142</cp:revision>
  <cp:lastPrinted>2017-11-10T15:42:00Z</cp:lastPrinted>
  <dcterms:created xsi:type="dcterms:W3CDTF">2017-11-03T21:49:00Z</dcterms:created>
  <dcterms:modified xsi:type="dcterms:W3CDTF">2017-11-10T15:46:00Z</dcterms:modified>
</cp:coreProperties>
</file>